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8164"/>
        <w:spacing w:after="0"/>
        <w:rPr>
          <w:sz w:val="20"/>
          <w:szCs w:val="20"/>
          <w:color w:val="auto"/>
        </w:rPr>
      </w:pPr>
      <w:r>
        <w:rPr>
          <w:rFonts w:ascii="Arial" w:cs="Arial" w:eastAsia="Arial" w:hAnsi="Arial"/>
          <w:sz w:val="18"/>
          <w:szCs w:val="18"/>
          <w:b w:val="1"/>
          <w:bCs w:val="1"/>
          <w:color w:val="auto"/>
        </w:rPr>
        <w:t>New York</w:t>
      </w:r>
    </w:p>
    <w:p>
      <w:pPr>
        <w:spacing w:after="0" w:line="27" w:lineRule="exact"/>
        <w:rPr>
          <w:sz w:val="24"/>
          <w:szCs w:val="24"/>
          <w:color w:val="auto"/>
        </w:rPr>
      </w:pPr>
    </w:p>
    <w:p>
      <w:pPr>
        <w:ind w:left="8164"/>
        <w:spacing w:after="0"/>
        <w:rPr>
          <w:sz w:val="20"/>
          <w:szCs w:val="20"/>
          <w:color w:val="auto"/>
        </w:rPr>
      </w:pPr>
      <w:r>
        <w:rPr>
          <w:rFonts w:ascii="Arial" w:cs="Arial" w:eastAsia="Arial" w:hAnsi="Arial"/>
          <w:sz w:val="17"/>
          <w:szCs w:val="17"/>
          <w:b w:val="1"/>
          <w:bCs w:val="1"/>
          <w:color w:val="auto"/>
        </w:rPr>
        <w:t>Northern California</w:t>
      </w:r>
    </w:p>
    <w:p>
      <w:pPr>
        <w:spacing w:after="0" w:line="21" w:lineRule="exact"/>
        <w:rPr>
          <w:sz w:val="24"/>
          <w:szCs w:val="24"/>
          <w:color w:val="auto"/>
        </w:rPr>
      </w:pPr>
    </w:p>
    <w:p>
      <w:pPr>
        <w:ind w:left="8164"/>
        <w:spacing w:after="0"/>
        <w:rPr>
          <w:sz w:val="20"/>
          <w:szCs w:val="20"/>
          <w:color w:val="auto"/>
        </w:rPr>
      </w:pPr>
      <w:r>
        <w:rPr>
          <w:rFonts w:ascii="Arial" w:cs="Arial" w:eastAsia="Arial" w:hAnsi="Arial"/>
          <w:sz w:val="18"/>
          <w:szCs w:val="18"/>
          <w:b w:val="1"/>
          <w:bCs w:val="1"/>
          <w:color w:val="auto"/>
        </w:rPr>
        <w:t>Washington DC</w:t>
      </w:r>
    </w:p>
    <w:p>
      <w:pPr>
        <w:spacing w:after="0" w:line="9" w:lineRule="exact"/>
        <w:rPr>
          <w:sz w:val="24"/>
          <w:szCs w:val="24"/>
          <w:color w:val="auto"/>
        </w:rPr>
      </w:pPr>
    </w:p>
    <w:p>
      <w:pPr>
        <w:ind w:left="8164"/>
        <w:spacing w:after="0"/>
        <w:rPr>
          <w:sz w:val="20"/>
          <w:szCs w:val="20"/>
          <w:color w:val="auto"/>
        </w:rPr>
      </w:pPr>
      <w:r>
        <w:rPr>
          <w:rFonts w:ascii="Arial" w:cs="Arial" w:eastAsia="Arial" w:hAnsi="Arial"/>
          <w:sz w:val="18"/>
          <w:szCs w:val="18"/>
          <w:b w:val="1"/>
          <w:bCs w:val="1"/>
          <w:color w:val="auto"/>
        </w:rPr>
        <w:t>São Paulo</w:t>
      </w:r>
    </w:p>
    <w:p>
      <w:pPr>
        <w:spacing w:after="0" w:line="9" w:lineRule="exact"/>
        <w:rPr>
          <w:sz w:val="24"/>
          <w:szCs w:val="24"/>
          <w:color w:val="auto"/>
        </w:rPr>
      </w:pPr>
    </w:p>
    <w:p>
      <w:pPr>
        <w:ind w:left="8164"/>
        <w:spacing w:after="0"/>
        <w:rPr>
          <w:sz w:val="20"/>
          <w:szCs w:val="20"/>
          <w:color w:val="auto"/>
        </w:rPr>
      </w:pPr>
      <w:r>
        <w:rPr>
          <w:rFonts w:ascii="Arial" w:cs="Arial" w:eastAsia="Arial" w:hAnsi="Arial"/>
          <w:sz w:val="18"/>
          <w:szCs w:val="18"/>
          <w:b w:val="1"/>
          <w:bCs w:val="1"/>
          <w:color w:val="auto"/>
        </w:rPr>
        <w:t>London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245745</wp:posOffset>
            </wp:positionV>
            <wp:extent cx="1328420" cy="2832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328420" cy="283210"/>
                    </a:xfrm>
                    <a:prstGeom prst="rect">
                      <a:avLst/>
                    </a:prstGeom>
                    <a:noFill/>
                  </pic:spPr>
                </pic:pic>
              </a:graphicData>
            </a:graphic>
          </wp:anchor>
        </w:drawing>
      </w:r>
    </w:p>
    <w:p>
      <w:pPr>
        <w:spacing w:after="0" w:line="20" w:lineRule="exact"/>
        <w:rPr>
          <w:sz w:val="24"/>
          <w:szCs w:val="24"/>
          <w:color w:val="auto"/>
        </w:rPr>
      </w:pPr>
      <w:r>
        <w:rPr>
          <w:sz w:val="24"/>
          <w:szCs w:val="24"/>
          <w:color w:val="auto"/>
        </w:rPr>
        <w:br w:type="column"/>
      </w:r>
    </w:p>
    <w:p>
      <w:pPr>
        <w:spacing w:after="0"/>
        <w:rPr>
          <w:sz w:val="20"/>
          <w:szCs w:val="20"/>
          <w:color w:val="auto"/>
        </w:rPr>
      </w:pPr>
      <w:r>
        <w:rPr>
          <w:rFonts w:ascii="Arial" w:cs="Arial" w:eastAsia="Arial" w:hAnsi="Arial"/>
          <w:sz w:val="18"/>
          <w:szCs w:val="18"/>
          <w:b w:val="1"/>
          <w:bCs w:val="1"/>
          <w:color w:val="auto"/>
        </w:rPr>
        <w:t>Paris</w:t>
      </w:r>
    </w:p>
    <w:p>
      <w:pPr>
        <w:spacing w:after="0" w:line="27" w:lineRule="exact"/>
        <w:rPr>
          <w:sz w:val="24"/>
          <w:szCs w:val="24"/>
          <w:color w:val="auto"/>
        </w:rPr>
      </w:pPr>
    </w:p>
    <w:p>
      <w:pPr>
        <w:spacing w:after="0"/>
        <w:rPr>
          <w:sz w:val="20"/>
          <w:szCs w:val="20"/>
          <w:color w:val="auto"/>
        </w:rPr>
      </w:pPr>
      <w:r>
        <w:rPr>
          <w:rFonts w:ascii="Arial" w:cs="Arial" w:eastAsia="Arial" w:hAnsi="Arial"/>
          <w:sz w:val="18"/>
          <w:szCs w:val="18"/>
          <w:b w:val="1"/>
          <w:bCs w:val="1"/>
          <w:color w:val="auto"/>
        </w:rPr>
        <w:t>Madrid</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b w:val="1"/>
          <w:bCs w:val="1"/>
          <w:color w:val="auto"/>
        </w:rPr>
        <w:t>Tokyo</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b w:val="1"/>
          <w:bCs w:val="1"/>
          <w:color w:val="auto"/>
        </w:rPr>
        <w:t>Beijing</w:t>
      </w:r>
    </w:p>
    <w:p>
      <w:pPr>
        <w:spacing w:after="0" w:line="9" w:lineRule="exact"/>
        <w:rPr>
          <w:sz w:val="24"/>
          <w:szCs w:val="24"/>
          <w:color w:val="auto"/>
        </w:rPr>
      </w:pPr>
    </w:p>
    <w:p>
      <w:pPr>
        <w:spacing w:after="0"/>
        <w:rPr>
          <w:sz w:val="20"/>
          <w:szCs w:val="20"/>
          <w:color w:val="auto"/>
        </w:rPr>
      </w:pPr>
      <w:r>
        <w:rPr>
          <w:rFonts w:ascii="Arial" w:cs="Arial" w:eastAsia="Arial" w:hAnsi="Arial"/>
          <w:sz w:val="16"/>
          <w:szCs w:val="16"/>
          <w:b w:val="1"/>
          <w:bCs w:val="1"/>
          <w:color w:val="auto"/>
        </w:rPr>
        <w:t>Hong Kong</w:t>
      </w:r>
    </w:p>
    <w:p>
      <w:pPr>
        <w:spacing w:after="0" w:line="222" w:lineRule="exact"/>
        <w:rPr>
          <w:sz w:val="24"/>
          <w:szCs w:val="24"/>
          <w:color w:val="auto"/>
        </w:rPr>
      </w:pPr>
    </w:p>
    <w:p>
      <w:pPr>
        <w:sectPr>
          <w:pgSz w:w="11900" w:h="16838" w:orient="portrait"/>
          <w:cols w:equalWidth="0" w:num="2">
            <w:col w:w="9724" w:space="300"/>
            <w:col w:w="900"/>
          </w:cols>
          <w:pgMar w:left="436" w:top="229" w:right="539" w:bottom="144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0" w:lineRule="exact"/>
        <w:rPr>
          <w:sz w:val="24"/>
          <w:szCs w:val="24"/>
          <w:color w:val="auto"/>
        </w:rPr>
      </w:pPr>
    </w:p>
    <w:tbl>
      <w:tblPr>
        <w:tblLayout w:type="fixed"/>
        <w:tblInd w:w="4" w:type="dxa"/>
        <w:tblCellMar>
          <w:top w:w="0" w:type="dxa"/>
          <w:left w:w="0" w:type="dxa"/>
          <w:bottom w:w="0" w:type="dxa"/>
          <w:right w:w="0" w:type="dxa"/>
        </w:tblCellMar>
      </w:tblPr>
      <w:tr>
        <w:trPr>
          <w:trHeight w:val="234"/>
        </w:trPr>
        <w:tc>
          <w:tcPr>
            <w:tcW w:w="2220" w:type="dxa"/>
            <w:vAlign w:val="bottom"/>
          </w:tcPr>
          <w:p>
            <w:pPr>
              <w:spacing w:after="0"/>
              <w:rPr>
                <w:sz w:val="20"/>
                <w:szCs w:val="20"/>
                <w:color w:val="auto"/>
              </w:rPr>
            </w:pPr>
            <w:r>
              <w:rPr>
                <w:rFonts w:ascii="Arial" w:cs="Arial" w:eastAsia="Arial" w:hAnsi="Arial"/>
                <w:sz w:val="18"/>
                <w:szCs w:val="18"/>
                <w:b w:val="1"/>
                <w:bCs w:val="1"/>
                <w:color w:val="auto"/>
              </w:rPr>
              <w:t>Michael Kaplan</w:t>
            </w:r>
          </w:p>
        </w:tc>
        <w:tc>
          <w:tcPr>
            <w:tcW w:w="2520" w:type="dxa"/>
            <w:vAlign w:val="bottom"/>
          </w:tcPr>
          <w:p>
            <w:pPr>
              <w:spacing w:after="0"/>
              <w:rPr>
                <w:sz w:val="20"/>
                <w:szCs w:val="20"/>
                <w:color w:val="auto"/>
              </w:rPr>
            </w:pPr>
          </w:p>
        </w:tc>
      </w:tr>
      <w:tr>
        <w:trPr>
          <w:trHeight w:val="445"/>
        </w:trPr>
        <w:tc>
          <w:tcPr>
            <w:tcW w:w="2220" w:type="dxa"/>
            <w:vAlign w:val="bottom"/>
          </w:tcPr>
          <w:p>
            <w:pPr>
              <w:spacing w:after="0"/>
              <w:rPr>
                <w:sz w:val="20"/>
                <w:szCs w:val="20"/>
                <w:color w:val="auto"/>
              </w:rPr>
            </w:pPr>
            <w:r>
              <w:rPr>
                <w:rFonts w:ascii="Arial" w:cs="Arial" w:eastAsia="Arial" w:hAnsi="Arial"/>
                <w:sz w:val="18"/>
                <w:szCs w:val="18"/>
                <w:color w:val="auto"/>
              </w:rPr>
              <w:t xml:space="preserve">Davis Polk &amp; Wardwell </w:t>
            </w:r>
            <w:r>
              <w:rPr>
                <w:rFonts w:ascii="Arial" w:cs="Arial" w:eastAsia="Arial" w:hAnsi="Arial"/>
                <w:sz w:val="14"/>
                <w:szCs w:val="14"/>
                <w:color w:val="auto"/>
              </w:rPr>
              <w:t>LLP</w:t>
            </w:r>
          </w:p>
        </w:tc>
        <w:tc>
          <w:tcPr>
            <w:tcW w:w="2520" w:type="dxa"/>
            <w:vAlign w:val="bottom"/>
          </w:tcPr>
          <w:p>
            <w:pPr>
              <w:ind w:left="200"/>
              <w:spacing w:after="0"/>
              <w:rPr>
                <w:sz w:val="20"/>
                <w:szCs w:val="20"/>
                <w:color w:val="auto"/>
              </w:rPr>
            </w:pPr>
            <w:r>
              <w:rPr>
                <w:rFonts w:ascii="Arial" w:cs="Arial" w:eastAsia="Arial" w:hAnsi="Arial"/>
                <w:sz w:val="18"/>
                <w:szCs w:val="18"/>
                <w:color w:val="auto"/>
              </w:rPr>
              <w:t>212 450 4111 tel</w:t>
            </w:r>
          </w:p>
        </w:tc>
      </w:tr>
      <w:tr>
        <w:trPr>
          <w:trHeight w:val="216"/>
        </w:trPr>
        <w:tc>
          <w:tcPr>
            <w:tcW w:w="2220" w:type="dxa"/>
            <w:vAlign w:val="bottom"/>
          </w:tcPr>
          <w:p>
            <w:pPr>
              <w:spacing w:after="0"/>
              <w:rPr>
                <w:sz w:val="20"/>
                <w:szCs w:val="20"/>
                <w:color w:val="auto"/>
              </w:rPr>
            </w:pPr>
            <w:r>
              <w:rPr>
                <w:rFonts w:ascii="Arial" w:cs="Arial" w:eastAsia="Arial" w:hAnsi="Arial"/>
                <w:sz w:val="18"/>
                <w:szCs w:val="18"/>
                <w:color w:val="auto"/>
              </w:rPr>
              <w:t>450 Lexington Avenue</w:t>
            </w:r>
          </w:p>
        </w:tc>
        <w:tc>
          <w:tcPr>
            <w:tcW w:w="2520" w:type="dxa"/>
            <w:vAlign w:val="bottom"/>
          </w:tcPr>
          <w:p>
            <w:pPr>
              <w:ind w:left="200"/>
              <w:spacing w:after="0"/>
              <w:rPr>
                <w:sz w:val="20"/>
                <w:szCs w:val="20"/>
                <w:color w:val="auto"/>
              </w:rPr>
            </w:pPr>
            <w:r>
              <w:rPr>
                <w:rFonts w:ascii="Arial" w:cs="Arial" w:eastAsia="Arial" w:hAnsi="Arial"/>
                <w:sz w:val="18"/>
                <w:szCs w:val="18"/>
                <w:color w:val="auto"/>
              </w:rPr>
              <w:t>212 701 5111 fax</w:t>
            </w:r>
          </w:p>
        </w:tc>
      </w:tr>
      <w:tr>
        <w:trPr>
          <w:trHeight w:val="230"/>
        </w:trPr>
        <w:tc>
          <w:tcPr>
            <w:tcW w:w="2220" w:type="dxa"/>
            <w:vAlign w:val="bottom"/>
          </w:tcPr>
          <w:p>
            <w:pPr>
              <w:spacing w:after="0"/>
              <w:rPr>
                <w:sz w:val="20"/>
                <w:szCs w:val="20"/>
                <w:color w:val="auto"/>
              </w:rPr>
            </w:pPr>
            <w:r>
              <w:rPr>
                <w:rFonts w:ascii="Arial" w:cs="Arial" w:eastAsia="Arial" w:hAnsi="Arial"/>
                <w:sz w:val="18"/>
                <w:szCs w:val="18"/>
                <w:color w:val="auto"/>
              </w:rPr>
              <w:t>New York, NY 10017</w:t>
            </w:r>
          </w:p>
        </w:tc>
        <w:tc>
          <w:tcPr>
            <w:tcW w:w="2520" w:type="dxa"/>
            <w:vAlign w:val="bottom"/>
          </w:tcPr>
          <w:p>
            <w:pPr>
              <w:ind w:left="200"/>
              <w:spacing w:after="0"/>
              <w:rPr>
                <w:sz w:val="20"/>
                <w:szCs w:val="20"/>
                <w:color w:val="auto"/>
              </w:rPr>
            </w:pPr>
            <w:r>
              <w:rPr>
                <w:rFonts w:ascii="Arial" w:cs="Arial" w:eastAsia="Arial" w:hAnsi="Arial"/>
                <w:sz w:val="18"/>
                <w:szCs w:val="18"/>
                <w:color w:val="auto"/>
                <w:w w:val="91"/>
              </w:rPr>
              <w:t>michael.kaplan@davispolk.com</w:t>
            </w:r>
          </w:p>
        </w:tc>
      </w:tr>
    </w:tbl>
    <w:p>
      <w:pPr>
        <w:spacing w:after="0" w:line="215" w:lineRule="exact"/>
        <w:rPr>
          <w:sz w:val="24"/>
          <w:szCs w:val="24"/>
          <w:color w:val="auto"/>
        </w:rPr>
      </w:pPr>
    </w:p>
    <w:p>
      <w:pPr>
        <w:ind w:left="4"/>
        <w:spacing w:after="0"/>
        <w:rPr>
          <w:sz w:val="20"/>
          <w:szCs w:val="20"/>
          <w:color w:val="auto"/>
        </w:rPr>
      </w:pPr>
      <w:r>
        <w:rPr>
          <w:rFonts w:ascii="Arial" w:cs="Arial" w:eastAsia="Arial" w:hAnsi="Arial"/>
          <w:sz w:val="18"/>
          <w:szCs w:val="18"/>
          <w:color w:val="auto"/>
        </w:rPr>
        <w:t>February 24, 2020</w:t>
      </w:r>
    </w:p>
    <w:p>
      <w:pPr>
        <w:spacing w:after="0" w:line="248" w:lineRule="exact"/>
        <w:rPr>
          <w:sz w:val="24"/>
          <w:szCs w:val="24"/>
          <w:color w:val="auto"/>
        </w:rPr>
      </w:pPr>
    </w:p>
    <w:p>
      <w:pPr>
        <w:ind w:left="4"/>
        <w:spacing w:after="0"/>
        <w:tabs>
          <w:tab w:leader="none" w:pos="404" w:val="left"/>
        </w:tabs>
        <w:rPr>
          <w:sz w:val="20"/>
          <w:szCs w:val="20"/>
          <w:color w:val="auto"/>
        </w:rPr>
      </w:pPr>
      <w:r>
        <w:rPr>
          <w:rFonts w:ascii="Arial" w:cs="Arial" w:eastAsia="Arial" w:hAnsi="Arial"/>
          <w:sz w:val="18"/>
          <w:szCs w:val="18"/>
          <w:b w:val="1"/>
          <w:bCs w:val="1"/>
          <w:color w:val="auto"/>
        </w:rPr>
        <w:t>Re:</w:t>
      </w:r>
      <w:r>
        <w:rPr>
          <w:sz w:val="20"/>
          <w:szCs w:val="20"/>
          <w:color w:val="auto"/>
        </w:rPr>
        <w:tab/>
      </w:r>
      <w:r>
        <w:rPr>
          <w:rFonts w:ascii="Arial" w:cs="Arial" w:eastAsia="Arial" w:hAnsi="Arial"/>
          <w:sz w:val="16"/>
          <w:szCs w:val="16"/>
          <w:b w:val="1"/>
          <w:bCs w:val="1"/>
          <w:color w:val="auto"/>
        </w:rPr>
        <w:t>Amdocs Limited</w:t>
      </w:r>
    </w:p>
    <w:p>
      <w:pPr>
        <w:spacing w:after="0" w:line="27" w:lineRule="exact"/>
        <w:rPr>
          <w:sz w:val="24"/>
          <w:szCs w:val="24"/>
          <w:color w:val="auto"/>
        </w:rPr>
      </w:pPr>
    </w:p>
    <w:p>
      <w:pPr>
        <w:ind w:left="444"/>
        <w:spacing w:after="0"/>
        <w:rPr>
          <w:sz w:val="20"/>
          <w:szCs w:val="20"/>
          <w:color w:val="auto"/>
        </w:rPr>
      </w:pPr>
      <w:r>
        <w:rPr>
          <w:rFonts w:ascii="Arial" w:cs="Arial" w:eastAsia="Arial" w:hAnsi="Arial"/>
          <w:sz w:val="18"/>
          <w:szCs w:val="18"/>
          <w:b w:val="1"/>
          <w:bCs w:val="1"/>
          <w:color w:val="auto"/>
        </w:rPr>
        <w:t>Form 20-F for the Fiscal Year Ended September 30, 2019</w:t>
      </w:r>
    </w:p>
    <w:p>
      <w:pPr>
        <w:spacing w:after="0" w:line="9" w:lineRule="exact"/>
        <w:rPr>
          <w:sz w:val="24"/>
          <w:szCs w:val="24"/>
          <w:color w:val="auto"/>
        </w:rPr>
      </w:pPr>
    </w:p>
    <w:p>
      <w:pPr>
        <w:ind w:left="444"/>
        <w:spacing w:after="0"/>
        <w:rPr>
          <w:sz w:val="20"/>
          <w:szCs w:val="20"/>
          <w:color w:val="auto"/>
        </w:rPr>
      </w:pPr>
      <w:r>
        <w:rPr>
          <w:rFonts w:ascii="Arial" w:cs="Arial" w:eastAsia="Arial" w:hAnsi="Arial"/>
          <w:sz w:val="18"/>
          <w:szCs w:val="18"/>
          <w:b w:val="1"/>
          <w:bCs w:val="1"/>
          <w:color w:val="auto"/>
        </w:rPr>
        <w:t>Filed December 16, 2019</w:t>
      </w:r>
    </w:p>
    <w:p>
      <w:pPr>
        <w:spacing w:after="0" w:line="9" w:lineRule="exact"/>
        <w:rPr>
          <w:sz w:val="24"/>
          <w:szCs w:val="24"/>
          <w:color w:val="auto"/>
        </w:rPr>
      </w:pPr>
    </w:p>
    <w:p>
      <w:pPr>
        <w:ind w:left="444"/>
        <w:spacing w:after="0"/>
        <w:rPr>
          <w:sz w:val="20"/>
          <w:szCs w:val="20"/>
          <w:color w:val="auto"/>
        </w:rPr>
      </w:pPr>
      <w:r>
        <w:rPr>
          <w:rFonts w:ascii="Arial" w:cs="Arial" w:eastAsia="Arial" w:hAnsi="Arial"/>
          <w:sz w:val="18"/>
          <w:szCs w:val="18"/>
          <w:b w:val="1"/>
          <w:bCs w:val="1"/>
          <w:color w:val="auto"/>
        </w:rPr>
        <w:t>File No. 001-14840</w:t>
      </w:r>
    </w:p>
    <w:p>
      <w:pPr>
        <w:spacing w:after="0" w:line="211" w:lineRule="exact"/>
        <w:rPr>
          <w:sz w:val="24"/>
          <w:szCs w:val="24"/>
          <w:color w:val="auto"/>
        </w:rPr>
      </w:pPr>
    </w:p>
    <w:p>
      <w:pPr>
        <w:ind w:left="4"/>
        <w:spacing w:after="0"/>
        <w:rPr>
          <w:sz w:val="20"/>
          <w:szCs w:val="20"/>
          <w:color w:val="auto"/>
        </w:rPr>
      </w:pPr>
      <w:r>
        <w:rPr>
          <w:rFonts w:ascii="Arial" w:cs="Arial" w:eastAsia="Arial" w:hAnsi="Arial"/>
          <w:sz w:val="18"/>
          <w:szCs w:val="18"/>
          <w:color w:val="auto"/>
        </w:rPr>
        <w:t>Ms. Megan Akst, Senior Staff Accountant</w:t>
      </w:r>
    </w:p>
    <w:p>
      <w:pPr>
        <w:spacing w:after="0" w:line="23" w:lineRule="exact"/>
        <w:rPr>
          <w:sz w:val="24"/>
          <w:szCs w:val="24"/>
          <w:color w:val="auto"/>
        </w:rPr>
      </w:pPr>
    </w:p>
    <w:p>
      <w:pPr>
        <w:ind w:left="4"/>
        <w:spacing w:after="0"/>
        <w:rPr>
          <w:sz w:val="20"/>
          <w:szCs w:val="20"/>
          <w:color w:val="auto"/>
        </w:rPr>
      </w:pPr>
      <w:r>
        <w:rPr>
          <w:rFonts w:ascii="Arial" w:cs="Arial" w:eastAsia="Arial" w:hAnsi="Arial"/>
          <w:sz w:val="18"/>
          <w:szCs w:val="18"/>
          <w:color w:val="auto"/>
        </w:rPr>
        <w:t>Ms. Melissa Kindelan, Senior Staff Accountant</w:t>
      </w:r>
    </w:p>
    <w:p>
      <w:pPr>
        <w:spacing w:after="0" w:line="9" w:lineRule="exact"/>
        <w:rPr>
          <w:sz w:val="24"/>
          <w:szCs w:val="24"/>
          <w:color w:val="auto"/>
        </w:rPr>
      </w:pPr>
    </w:p>
    <w:p>
      <w:pPr>
        <w:ind w:left="4"/>
        <w:spacing w:after="0"/>
        <w:rPr>
          <w:sz w:val="20"/>
          <w:szCs w:val="20"/>
          <w:color w:val="auto"/>
        </w:rPr>
      </w:pPr>
      <w:r>
        <w:rPr>
          <w:rFonts w:ascii="Arial" w:cs="Arial" w:eastAsia="Arial" w:hAnsi="Arial"/>
          <w:sz w:val="18"/>
          <w:szCs w:val="18"/>
          <w:color w:val="auto"/>
        </w:rPr>
        <w:t>Office of Technology</w:t>
      </w:r>
    </w:p>
    <w:p>
      <w:pPr>
        <w:spacing w:after="0" w:line="9" w:lineRule="exact"/>
        <w:rPr>
          <w:sz w:val="24"/>
          <w:szCs w:val="24"/>
          <w:color w:val="auto"/>
        </w:rPr>
      </w:pPr>
    </w:p>
    <w:p>
      <w:pPr>
        <w:ind w:left="4"/>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4"/>
          <w:szCs w:val="24"/>
          <w:color w:val="auto"/>
        </w:rPr>
      </w:pPr>
    </w:p>
    <w:p>
      <w:pPr>
        <w:ind w:left="4"/>
        <w:spacing w:after="0"/>
        <w:rPr>
          <w:sz w:val="20"/>
          <w:szCs w:val="20"/>
          <w:color w:val="auto"/>
        </w:rPr>
      </w:pPr>
      <w:r>
        <w:rPr>
          <w:rFonts w:ascii="Arial" w:cs="Arial" w:eastAsia="Arial" w:hAnsi="Arial"/>
          <w:sz w:val="18"/>
          <w:szCs w:val="18"/>
          <w:color w:val="auto"/>
        </w:rPr>
        <w:t>U.S. Securities and Exchange Commission</w:t>
      </w:r>
    </w:p>
    <w:p>
      <w:pPr>
        <w:spacing w:after="0" w:line="9" w:lineRule="exact"/>
        <w:rPr>
          <w:sz w:val="24"/>
          <w:szCs w:val="24"/>
          <w:color w:val="auto"/>
        </w:rPr>
      </w:pPr>
    </w:p>
    <w:p>
      <w:pPr>
        <w:ind w:left="4"/>
        <w:spacing w:after="0"/>
        <w:rPr>
          <w:sz w:val="20"/>
          <w:szCs w:val="20"/>
          <w:color w:val="auto"/>
        </w:rPr>
      </w:pPr>
      <w:r>
        <w:rPr>
          <w:rFonts w:ascii="Arial" w:cs="Arial" w:eastAsia="Arial" w:hAnsi="Arial"/>
          <w:sz w:val="18"/>
          <w:szCs w:val="18"/>
          <w:color w:val="auto"/>
        </w:rPr>
        <w:t>100 F Street, N.E.</w:t>
      </w:r>
    </w:p>
    <w:p>
      <w:pPr>
        <w:spacing w:after="0" w:line="9" w:lineRule="exact"/>
        <w:rPr>
          <w:sz w:val="24"/>
          <w:szCs w:val="24"/>
          <w:color w:val="auto"/>
        </w:rPr>
      </w:pPr>
    </w:p>
    <w:p>
      <w:pPr>
        <w:ind w:left="4"/>
        <w:spacing w:after="0"/>
        <w:rPr>
          <w:sz w:val="20"/>
          <w:szCs w:val="20"/>
          <w:color w:val="auto"/>
        </w:rPr>
      </w:pPr>
      <w:r>
        <w:rPr>
          <w:rFonts w:ascii="Arial" w:cs="Arial" w:eastAsia="Arial" w:hAnsi="Arial"/>
          <w:sz w:val="18"/>
          <w:szCs w:val="18"/>
          <w:color w:val="auto"/>
        </w:rPr>
        <w:t>Washington, DC 20549-3628</w:t>
      </w:r>
    </w:p>
    <w:p>
      <w:pPr>
        <w:spacing w:after="0" w:line="211" w:lineRule="exact"/>
        <w:rPr>
          <w:sz w:val="24"/>
          <w:szCs w:val="24"/>
          <w:color w:val="auto"/>
        </w:rPr>
      </w:pPr>
    </w:p>
    <w:p>
      <w:pPr>
        <w:ind w:left="4"/>
        <w:spacing w:after="0"/>
        <w:rPr>
          <w:sz w:val="20"/>
          <w:szCs w:val="20"/>
          <w:color w:val="auto"/>
        </w:rPr>
      </w:pPr>
      <w:r>
        <w:rPr>
          <w:rFonts w:ascii="Arial" w:cs="Arial" w:eastAsia="Arial" w:hAnsi="Arial"/>
          <w:sz w:val="18"/>
          <w:szCs w:val="18"/>
          <w:color w:val="auto"/>
        </w:rPr>
        <w:t>Dear Ms. Akst and Ms. Kindelan:</w:t>
      </w:r>
    </w:p>
    <w:p>
      <w:pPr>
        <w:spacing w:after="0" w:line="221" w:lineRule="exact"/>
        <w:rPr>
          <w:sz w:val="24"/>
          <w:szCs w:val="24"/>
          <w:color w:val="auto"/>
        </w:rPr>
      </w:pPr>
    </w:p>
    <w:p>
      <w:pPr>
        <w:ind w:left="4"/>
        <w:spacing w:after="0" w:line="266" w:lineRule="auto"/>
        <w:rPr>
          <w:sz w:val="20"/>
          <w:szCs w:val="20"/>
          <w:color w:val="auto"/>
        </w:rPr>
      </w:pPr>
      <w:r>
        <w:rPr>
          <w:rFonts w:ascii="Arial" w:cs="Arial" w:eastAsia="Arial" w:hAnsi="Arial"/>
          <w:sz w:val="18"/>
          <w:szCs w:val="18"/>
          <w:color w:val="auto"/>
        </w:rPr>
        <w:t>On behalf of our client, Amdocs Limited, a Guernsey company (the “</w:t>
      </w:r>
      <w:r>
        <w:rPr>
          <w:rFonts w:ascii="Arial" w:cs="Arial" w:eastAsia="Arial" w:hAnsi="Arial"/>
          <w:sz w:val="18"/>
          <w:szCs w:val="18"/>
          <w:b w:val="1"/>
          <w:bCs w:val="1"/>
          <w:color w:val="auto"/>
        </w:rPr>
        <w:t>Company</w:t>
      </w:r>
      <w:r>
        <w:rPr>
          <w:rFonts w:ascii="Arial" w:cs="Arial" w:eastAsia="Arial" w:hAnsi="Arial"/>
          <w:sz w:val="18"/>
          <w:szCs w:val="18"/>
          <w:color w:val="auto"/>
        </w:rPr>
        <w:t>”), we are responding to the comment from the Staff (the “</w:t>
      </w:r>
      <w:r>
        <w:rPr>
          <w:rFonts w:ascii="Arial" w:cs="Arial" w:eastAsia="Arial" w:hAnsi="Arial"/>
          <w:sz w:val="18"/>
          <w:szCs w:val="18"/>
          <w:b w:val="1"/>
          <w:bCs w:val="1"/>
          <w:color w:val="auto"/>
        </w:rPr>
        <w:t>Staff</w:t>
      </w:r>
      <w:r>
        <w:rPr>
          <w:rFonts w:ascii="Arial" w:cs="Arial" w:eastAsia="Arial" w:hAnsi="Arial"/>
          <w:sz w:val="18"/>
          <w:szCs w:val="18"/>
          <w:color w:val="auto"/>
        </w:rPr>
        <w:t>”) of the Securities and Exchange Commission (the “</w:t>
      </w:r>
      <w:r>
        <w:rPr>
          <w:rFonts w:ascii="Arial" w:cs="Arial" w:eastAsia="Arial" w:hAnsi="Arial"/>
          <w:sz w:val="18"/>
          <w:szCs w:val="18"/>
          <w:b w:val="1"/>
          <w:bCs w:val="1"/>
          <w:color w:val="auto"/>
        </w:rPr>
        <w:t>Commission</w:t>
      </w:r>
      <w:r>
        <w:rPr>
          <w:rFonts w:ascii="Arial" w:cs="Arial" w:eastAsia="Arial" w:hAnsi="Arial"/>
          <w:sz w:val="18"/>
          <w:szCs w:val="18"/>
          <w:color w:val="auto"/>
        </w:rPr>
        <w:t>”) relating to the Company’s Annual Report on Form 20-F for the fiscal year ended September 30, 2019 (the “</w:t>
      </w:r>
      <w:r>
        <w:rPr>
          <w:rFonts w:ascii="Arial" w:cs="Arial" w:eastAsia="Arial" w:hAnsi="Arial"/>
          <w:sz w:val="18"/>
          <w:szCs w:val="18"/>
          <w:b w:val="1"/>
          <w:bCs w:val="1"/>
          <w:color w:val="auto"/>
        </w:rPr>
        <w:t>Form 20-F</w:t>
      </w:r>
      <w:r>
        <w:rPr>
          <w:rFonts w:ascii="Arial" w:cs="Arial" w:eastAsia="Arial" w:hAnsi="Arial"/>
          <w:sz w:val="18"/>
          <w:szCs w:val="18"/>
          <w:color w:val="auto"/>
        </w:rPr>
        <w:t>”) contained in the Staff’s letter dated February 11, 2020 (the “</w:t>
      </w:r>
      <w:r>
        <w:rPr>
          <w:rFonts w:ascii="Arial" w:cs="Arial" w:eastAsia="Arial" w:hAnsi="Arial"/>
          <w:sz w:val="18"/>
          <w:szCs w:val="18"/>
          <w:b w:val="1"/>
          <w:bCs w:val="1"/>
          <w:color w:val="auto"/>
        </w:rPr>
        <w:t>Comment Letter</w:t>
      </w:r>
      <w:r>
        <w:rPr>
          <w:rFonts w:ascii="Arial" w:cs="Arial" w:eastAsia="Arial" w:hAnsi="Arial"/>
          <w:sz w:val="18"/>
          <w:szCs w:val="18"/>
          <w:color w:val="auto"/>
        </w:rPr>
        <w:t>”).</w:t>
      </w:r>
    </w:p>
    <w:p>
      <w:pPr>
        <w:spacing w:after="0" w:line="180" w:lineRule="exact"/>
        <w:rPr>
          <w:sz w:val="24"/>
          <w:szCs w:val="24"/>
          <w:color w:val="auto"/>
        </w:rPr>
      </w:pPr>
    </w:p>
    <w:p>
      <w:pPr>
        <w:ind w:left="4" w:right="140"/>
        <w:spacing w:after="0" w:line="277" w:lineRule="auto"/>
        <w:rPr>
          <w:sz w:val="20"/>
          <w:szCs w:val="20"/>
          <w:color w:val="auto"/>
        </w:rPr>
      </w:pPr>
      <w:r>
        <w:rPr>
          <w:rFonts w:ascii="Arial" w:cs="Arial" w:eastAsia="Arial" w:hAnsi="Arial"/>
          <w:sz w:val="18"/>
          <w:szCs w:val="18"/>
          <w:color w:val="auto"/>
        </w:rPr>
        <w:t>Set forth below is the Company’s response to the Staff’s comment. For convenience, the Staff’s comment is repeated below in italics, followed by the Company’s response to the comment.</w:t>
      </w:r>
    </w:p>
    <w:p>
      <w:pPr>
        <w:spacing w:after="0" w:line="278" w:lineRule="exact"/>
        <w:rPr>
          <w:sz w:val="24"/>
          <w:szCs w:val="24"/>
          <w:color w:val="auto"/>
        </w:rPr>
      </w:pPr>
    </w:p>
    <w:p>
      <w:pPr>
        <w:ind w:left="4"/>
        <w:spacing w:after="0"/>
        <w:rPr>
          <w:sz w:val="20"/>
          <w:szCs w:val="20"/>
          <w:color w:val="auto"/>
        </w:rPr>
      </w:pPr>
      <w:r>
        <w:rPr>
          <w:rFonts w:ascii="Arial" w:cs="Arial" w:eastAsia="Arial" w:hAnsi="Arial"/>
          <w:sz w:val="18"/>
          <w:szCs w:val="18"/>
          <w:u w:val="single" w:color="auto"/>
          <w:color w:val="auto"/>
        </w:rPr>
        <w:t>Item 5. Operating and Financial Review and Prospects</w:t>
      </w:r>
    </w:p>
    <w:p>
      <w:pPr>
        <w:spacing w:after="0" w:line="117" w:lineRule="exact"/>
        <w:rPr>
          <w:sz w:val="24"/>
          <w:szCs w:val="24"/>
          <w:color w:val="auto"/>
        </w:rPr>
      </w:pPr>
    </w:p>
    <w:p>
      <w:pPr>
        <w:ind w:left="4"/>
        <w:spacing w:after="0"/>
        <w:rPr>
          <w:sz w:val="20"/>
          <w:szCs w:val="20"/>
          <w:color w:val="auto"/>
        </w:rPr>
      </w:pPr>
      <w:r>
        <w:rPr>
          <w:rFonts w:ascii="Arial" w:cs="Arial" w:eastAsia="Arial" w:hAnsi="Arial"/>
          <w:sz w:val="18"/>
          <w:szCs w:val="18"/>
          <w:u w:val="single" w:color="auto"/>
          <w:color w:val="auto"/>
        </w:rPr>
        <w:t>Liquidity and Capital Resources, page 37</w:t>
      </w:r>
    </w:p>
    <w:p>
      <w:pPr>
        <w:spacing w:after="0" w:line="131" w:lineRule="exact"/>
        <w:rPr>
          <w:sz w:val="24"/>
          <w:szCs w:val="24"/>
          <w:color w:val="auto"/>
        </w:rPr>
      </w:pPr>
    </w:p>
    <w:p>
      <w:pPr>
        <w:ind w:left="424" w:right="740" w:hanging="424"/>
        <w:spacing w:after="0" w:line="342" w:lineRule="auto"/>
        <w:tabs>
          <w:tab w:leader="none" w:pos="424" w:val="left"/>
        </w:tabs>
        <w:numPr>
          <w:ilvl w:val="0"/>
          <w:numId w:val="1"/>
        </w:numPr>
        <w:rPr>
          <w:rFonts w:ascii="Arial" w:cs="Arial" w:eastAsia="Arial" w:hAnsi="Arial"/>
          <w:sz w:val="16"/>
          <w:szCs w:val="16"/>
          <w:color w:val="auto"/>
        </w:rPr>
      </w:pPr>
      <w:r>
        <w:rPr>
          <w:rFonts w:ascii="Arial" w:cs="Arial" w:eastAsia="Arial" w:hAnsi="Arial"/>
          <w:sz w:val="16"/>
          <w:szCs w:val="16"/>
          <w:i w:val="1"/>
          <w:iCs w:val="1"/>
          <w:color w:val="auto"/>
        </w:rPr>
        <w:t>We note your normalized free cash flow measure excludes charges that required cash settlement. Such charges cannot be excluded from non-GAAP liquidity measures per Item 10(e)(1)(ii)(A) of Regulation S-K. Please remove the measure or explain how it complies.</w:t>
      </w:r>
    </w:p>
    <w:p>
      <w:pPr>
        <w:spacing w:after="0" w:line="120" w:lineRule="exact"/>
        <w:rPr>
          <w:sz w:val="24"/>
          <w:szCs w:val="24"/>
          <w:color w:val="auto"/>
        </w:rPr>
      </w:pPr>
    </w:p>
    <w:p>
      <w:pPr>
        <w:ind w:left="4" w:right="100"/>
        <w:spacing w:after="0" w:line="274" w:lineRule="auto"/>
        <w:rPr>
          <w:sz w:val="20"/>
          <w:szCs w:val="20"/>
          <w:color w:val="auto"/>
        </w:rPr>
      </w:pPr>
      <w:r>
        <w:rPr>
          <w:rFonts w:ascii="Arial" w:cs="Arial" w:eastAsia="Arial" w:hAnsi="Arial"/>
          <w:sz w:val="17"/>
          <w:szCs w:val="17"/>
          <w:b w:val="1"/>
          <w:bCs w:val="1"/>
          <w:color w:val="auto"/>
        </w:rPr>
        <w:t xml:space="preserve">Response: </w:t>
      </w:r>
      <w:r>
        <w:rPr>
          <w:rFonts w:ascii="Arial" w:cs="Arial" w:eastAsia="Arial" w:hAnsi="Arial"/>
          <w:sz w:val="17"/>
          <w:szCs w:val="17"/>
          <w:color w:val="auto"/>
        </w:rPr>
        <w:t>We respectfully advise the Staff that the Company considers “Normalized Free Cash Flow” to be a measure of its operating performance</w:t>
      </w:r>
      <w:r>
        <w:rPr>
          <w:rFonts w:ascii="Arial" w:cs="Arial" w:eastAsia="Arial" w:hAnsi="Arial"/>
          <w:sz w:val="17"/>
          <w:szCs w:val="17"/>
          <w:b w:val="1"/>
          <w:bCs w:val="1"/>
          <w:color w:val="auto"/>
        </w:rPr>
        <w:t xml:space="preserve"> </w:t>
      </w:r>
      <w:r>
        <w:rPr>
          <w:rFonts w:ascii="Arial" w:cs="Arial" w:eastAsia="Arial" w:hAnsi="Arial"/>
          <w:sz w:val="17"/>
          <w:szCs w:val="17"/>
          <w:color w:val="auto"/>
        </w:rPr>
        <w:t>rather than a liquidity measure. “Normalized Free Cash Flow,” as defined by the Company, is one of the measures intended to provide management, investors and other parties with an indicator of the Company’s operating performance that is useful in comparing the Company’s performance to other companies and to its performance in previous periods, because it excludes potential differences that the Company believes are unrelated to its ongoing operating performance. Management does not currently use “Normalized Free Cash Flow” to assess the Company’s ability to meet its short-term obligations, and therefore does not consider it to be a liquidity measure.</w:t>
      </w:r>
    </w:p>
    <w:p>
      <w:pPr>
        <w:sectPr>
          <w:pgSz w:w="11900" w:h="16838" w:orient="portrait"/>
          <w:cols w:equalWidth="0" w:num="1">
            <w:col w:w="10924"/>
          </w:cols>
          <w:pgMar w:left="436" w:top="229" w:right="539" w:bottom="1440" w:gutter="0" w:footer="0" w:header="0"/>
          <w:type w:val="continuous"/>
        </w:sectPr>
      </w:pPr>
    </w:p>
    <w:bookmarkStart w:id="1" w:name="page2"/>
    <w:bookmarkEnd w:id="1"/>
    <w:tbl>
      <w:tblPr>
        <w:tblLayout w:type="fixed"/>
        <w:tblInd w:w="4" w:type="dxa"/>
        <w:tblCellMar>
          <w:top w:w="0" w:type="dxa"/>
          <w:left w:w="0" w:type="dxa"/>
          <w:bottom w:w="0" w:type="dxa"/>
          <w:right w:w="0" w:type="dxa"/>
        </w:tblCellMar>
      </w:tblPr>
      <w:tr>
        <w:trPr>
          <w:trHeight w:val="216"/>
        </w:trPr>
        <w:tc>
          <w:tcPr>
            <w:tcW w:w="6540" w:type="dxa"/>
            <w:vAlign w:val="bottom"/>
          </w:tcPr>
          <w:p>
            <w:pPr>
              <w:spacing w:after="0"/>
              <w:rPr>
                <w:sz w:val="20"/>
                <w:szCs w:val="20"/>
                <w:color w:val="auto"/>
              </w:rPr>
            </w:pPr>
            <w:r>
              <w:rPr>
                <w:rFonts w:ascii="Arial" w:cs="Arial" w:eastAsia="Arial" w:hAnsi="Arial"/>
                <w:sz w:val="18"/>
                <w:szCs w:val="18"/>
                <w:color w:val="auto"/>
              </w:rPr>
              <w:t>Ms. Megan Akst, Senior Staff Accountant</w:t>
            </w:r>
          </w:p>
        </w:tc>
        <w:tc>
          <w:tcPr>
            <w:tcW w:w="4480" w:type="dxa"/>
            <w:vAlign w:val="bottom"/>
          </w:tcPr>
          <w:p>
            <w:pPr>
              <w:spacing w:after="0"/>
              <w:rPr>
                <w:sz w:val="18"/>
                <w:szCs w:val="18"/>
                <w:color w:val="auto"/>
              </w:rPr>
            </w:pPr>
          </w:p>
        </w:tc>
      </w:tr>
      <w:tr>
        <w:trPr>
          <w:trHeight w:val="216"/>
        </w:trPr>
        <w:tc>
          <w:tcPr>
            <w:tcW w:w="6540" w:type="dxa"/>
            <w:vAlign w:val="bottom"/>
          </w:tcPr>
          <w:p>
            <w:pPr>
              <w:spacing w:after="0"/>
              <w:rPr>
                <w:sz w:val="20"/>
                <w:szCs w:val="20"/>
                <w:color w:val="auto"/>
              </w:rPr>
            </w:pPr>
            <w:r>
              <w:rPr>
                <w:rFonts w:ascii="Arial" w:cs="Arial" w:eastAsia="Arial" w:hAnsi="Arial"/>
                <w:sz w:val="18"/>
                <w:szCs w:val="18"/>
                <w:color w:val="auto"/>
              </w:rPr>
              <w:t>Ms. Melissa Kindelan, Senior Staff Accountant</w:t>
            </w:r>
          </w:p>
        </w:tc>
        <w:tc>
          <w:tcPr>
            <w:tcW w:w="4480" w:type="dxa"/>
            <w:vAlign w:val="bottom"/>
          </w:tcPr>
          <w:p>
            <w:pPr>
              <w:spacing w:after="0"/>
              <w:rPr>
                <w:sz w:val="18"/>
                <w:szCs w:val="18"/>
                <w:color w:val="auto"/>
              </w:rPr>
            </w:pPr>
          </w:p>
        </w:tc>
      </w:tr>
      <w:tr>
        <w:trPr>
          <w:trHeight w:val="216"/>
        </w:trPr>
        <w:tc>
          <w:tcPr>
            <w:tcW w:w="6540" w:type="dxa"/>
            <w:vAlign w:val="bottom"/>
          </w:tcPr>
          <w:p>
            <w:pPr>
              <w:spacing w:after="0"/>
              <w:rPr>
                <w:sz w:val="20"/>
                <w:szCs w:val="20"/>
                <w:color w:val="auto"/>
              </w:rPr>
            </w:pPr>
            <w:r>
              <w:rPr>
                <w:rFonts w:ascii="Arial" w:cs="Arial" w:eastAsia="Arial" w:hAnsi="Arial"/>
                <w:sz w:val="18"/>
                <w:szCs w:val="18"/>
                <w:color w:val="auto"/>
              </w:rPr>
              <w:t>Office of Technology</w:t>
            </w:r>
          </w:p>
        </w:tc>
        <w:tc>
          <w:tcPr>
            <w:tcW w:w="4480" w:type="dxa"/>
            <w:vAlign w:val="bottom"/>
          </w:tcPr>
          <w:p>
            <w:pPr>
              <w:spacing w:after="0"/>
              <w:rPr>
                <w:sz w:val="18"/>
                <w:szCs w:val="18"/>
                <w:color w:val="auto"/>
              </w:rPr>
            </w:pPr>
          </w:p>
        </w:tc>
      </w:tr>
      <w:tr>
        <w:trPr>
          <w:trHeight w:val="244"/>
        </w:trPr>
        <w:tc>
          <w:tcPr>
            <w:tcW w:w="6540" w:type="dxa"/>
            <w:vAlign w:val="bottom"/>
          </w:tcPr>
          <w:p>
            <w:pPr>
              <w:spacing w:after="0"/>
              <w:rPr>
                <w:sz w:val="20"/>
                <w:szCs w:val="20"/>
                <w:color w:val="auto"/>
              </w:rPr>
            </w:pPr>
            <w:r>
              <w:rPr>
                <w:rFonts w:ascii="Arial" w:cs="Arial" w:eastAsia="Arial" w:hAnsi="Arial"/>
                <w:sz w:val="18"/>
                <w:szCs w:val="18"/>
                <w:color w:val="auto"/>
              </w:rPr>
              <w:t>Division of Corporation Finance</w:t>
            </w:r>
          </w:p>
        </w:tc>
        <w:tc>
          <w:tcPr>
            <w:tcW w:w="4480" w:type="dxa"/>
            <w:vAlign w:val="bottom"/>
          </w:tcPr>
          <w:p>
            <w:pPr>
              <w:ind w:left="3140"/>
              <w:spacing w:after="0"/>
              <w:rPr>
                <w:sz w:val="20"/>
                <w:szCs w:val="20"/>
                <w:color w:val="auto"/>
              </w:rPr>
            </w:pPr>
            <w:r>
              <w:rPr>
                <w:rFonts w:ascii="Arial" w:cs="Arial" w:eastAsia="Arial" w:hAnsi="Arial"/>
                <w:sz w:val="18"/>
                <w:szCs w:val="18"/>
                <w:color w:val="auto"/>
                <w:w w:val="89"/>
              </w:rPr>
              <w:t>February 24, 2020</w:t>
            </w:r>
          </w:p>
        </w:tc>
      </w:tr>
    </w:tbl>
    <w:p>
      <w:pPr>
        <w:spacing w:after="0" w:line="134"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49465" cy="260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49465" cy="26035"/>
                    </a:xfrm>
                    <a:prstGeom prst="rect">
                      <a:avLst/>
                    </a:prstGeom>
                    <a:noFill/>
                  </pic:spPr>
                </pic:pic>
              </a:graphicData>
            </a:graphic>
          </wp:anchor>
        </w:drawing>
      </w:r>
    </w:p>
    <w:p>
      <w:pPr>
        <w:ind w:left="4" w:right="280"/>
        <w:spacing w:after="0" w:line="277" w:lineRule="auto"/>
        <w:rPr>
          <w:sz w:val="20"/>
          <w:szCs w:val="20"/>
          <w:color w:val="auto"/>
        </w:rPr>
      </w:pPr>
      <w:r>
        <w:rPr>
          <w:rFonts w:ascii="Arial" w:cs="Arial" w:eastAsia="Arial" w:hAnsi="Arial"/>
          <w:sz w:val="18"/>
          <w:szCs w:val="18"/>
          <w:color w:val="auto"/>
        </w:rPr>
        <w:t>Having said that, the Company respectfully submits that it intends to remove “Normalized Free Cash Flow” from its annual reports on Form 20-F for future fiscal years and other reports filed with the Commission.</w:t>
      </w:r>
    </w:p>
    <w:p>
      <w:pPr>
        <w:spacing w:after="0" w:line="170" w:lineRule="exact"/>
        <w:rPr>
          <w:sz w:val="20"/>
          <w:szCs w:val="20"/>
          <w:color w:val="auto"/>
        </w:rPr>
      </w:pPr>
    </w:p>
    <w:p>
      <w:pPr>
        <w:ind w:left="4" w:right="40"/>
        <w:spacing w:after="0" w:line="277" w:lineRule="auto"/>
        <w:rPr>
          <w:sz w:val="20"/>
          <w:szCs w:val="20"/>
          <w:color w:val="auto"/>
        </w:rPr>
      </w:pPr>
      <w:r>
        <w:rPr>
          <w:rFonts w:ascii="Arial" w:cs="Arial" w:eastAsia="Arial" w:hAnsi="Arial"/>
          <w:sz w:val="18"/>
          <w:szCs w:val="18"/>
          <w:color w:val="auto"/>
        </w:rPr>
        <w:t xml:space="preserve">Please do not hesitate to contact me at (212) 450-4111, (212) 701-5111 (fax) or </w:t>
      </w:r>
      <w:r>
        <w:rPr>
          <w:rFonts w:ascii="Arial" w:cs="Arial" w:eastAsia="Arial" w:hAnsi="Arial"/>
          <w:sz w:val="18"/>
          <w:szCs w:val="18"/>
          <w:u w:val="single" w:color="auto"/>
          <w:color w:val="auto"/>
        </w:rPr>
        <w:t>michael.kaplan@davispolk.com</w:t>
      </w:r>
      <w:r>
        <w:rPr>
          <w:rFonts w:ascii="Arial" w:cs="Arial" w:eastAsia="Arial" w:hAnsi="Arial"/>
          <w:sz w:val="18"/>
          <w:szCs w:val="18"/>
          <w:color w:val="auto"/>
        </w:rPr>
        <w:t>, if you have any questions regarding the foregoing or if I can provide any additional information.</w:t>
      </w:r>
    </w:p>
    <w:p>
      <w:pPr>
        <w:spacing w:after="0" w:line="278" w:lineRule="exact"/>
        <w:rPr>
          <w:sz w:val="20"/>
          <w:szCs w:val="20"/>
          <w:color w:val="auto"/>
        </w:rPr>
      </w:pPr>
    </w:p>
    <w:p>
      <w:pPr>
        <w:ind w:left="4"/>
        <w:spacing w:after="0"/>
        <w:rPr>
          <w:sz w:val="20"/>
          <w:szCs w:val="20"/>
          <w:color w:val="auto"/>
        </w:rPr>
      </w:pPr>
      <w:r>
        <w:rPr>
          <w:rFonts w:ascii="Arial" w:cs="Arial" w:eastAsia="Arial" w:hAnsi="Arial"/>
          <w:sz w:val="18"/>
          <w:szCs w:val="18"/>
          <w:color w:val="auto"/>
        </w:rPr>
        <w:t>Very truly yours,</w:t>
      </w:r>
    </w:p>
    <w:p>
      <w:pPr>
        <w:spacing w:after="0" w:line="225" w:lineRule="exact"/>
        <w:rPr>
          <w:sz w:val="20"/>
          <w:szCs w:val="20"/>
          <w:color w:val="auto"/>
        </w:rPr>
      </w:pPr>
    </w:p>
    <w:p>
      <w:pPr>
        <w:ind w:left="4"/>
        <w:spacing w:after="0"/>
        <w:rPr>
          <w:sz w:val="20"/>
          <w:szCs w:val="20"/>
          <w:color w:val="auto"/>
        </w:rPr>
      </w:pPr>
      <w:r>
        <w:rPr>
          <w:rFonts w:ascii="Arial" w:cs="Arial" w:eastAsia="Arial" w:hAnsi="Arial"/>
          <w:sz w:val="18"/>
          <w:szCs w:val="18"/>
          <w:color w:val="auto"/>
        </w:rPr>
        <w:t>/s/ Michael Kaplan</w:t>
      </w:r>
    </w:p>
    <w:p>
      <w:pPr>
        <w:spacing w:after="0" w:line="225" w:lineRule="exact"/>
        <w:rPr>
          <w:sz w:val="20"/>
          <w:szCs w:val="20"/>
          <w:color w:val="auto"/>
        </w:rPr>
      </w:pPr>
    </w:p>
    <w:p>
      <w:pPr>
        <w:ind w:left="4"/>
        <w:spacing w:after="0"/>
        <w:rPr>
          <w:sz w:val="20"/>
          <w:szCs w:val="20"/>
          <w:color w:val="auto"/>
        </w:rPr>
      </w:pPr>
      <w:r>
        <w:rPr>
          <w:rFonts w:ascii="Arial" w:cs="Arial" w:eastAsia="Arial" w:hAnsi="Arial"/>
          <w:sz w:val="18"/>
          <w:szCs w:val="18"/>
          <w:color w:val="auto"/>
        </w:rPr>
        <w:t>Michael Kaplan</w:t>
      </w:r>
    </w:p>
    <w:p>
      <w:pPr>
        <w:spacing w:after="0" w:line="333" w:lineRule="exact"/>
        <w:rPr>
          <w:sz w:val="20"/>
          <w:szCs w:val="20"/>
          <w:color w:val="auto"/>
        </w:rPr>
      </w:pPr>
    </w:p>
    <w:p>
      <w:pPr>
        <w:ind w:left="624" w:hanging="624"/>
        <w:spacing w:after="0"/>
        <w:tabs>
          <w:tab w:leader="none" w:pos="624" w:val="left"/>
        </w:tabs>
        <w:numPr>
          <w:ilvl w:val="0"/>
          <w:numId w:val="2"/>
        </w:numPr>
        <w:rPr>
          <w:rFonts w:ascii="Arial" w:cs="Arial" w:eastAsia="Arial" w:hAnsi="Arial"/>
          <w:sz w:val="18"/>
          <w:szCs w:val="18"/>
          <w:color w:val="auto"/>
        </w:rPr>
      </w:pPr>
      <w:r>
        <w:rPr>
          <w:rFonts w:ascii="Arial" w:cs="Arial" w:eastAsia="Arial" w:hAnsi="Arial"/>
          <w:sz w:val="18"/>
          <w:szCs w:val="18"/>
          <w:u w:val="single" w:color="auto"/>
          <w:color w:val="auto"/>
        </w:rPr>
        <w:t>Via E-mail</w:t>
      </w:r>
    </w:p>
    <w:p>
      <w:pPr>
        <w:spacing w:after="0" w:line="23" w:lineRule="exact"/>
        <w:rPr>
          <w:sz w:val="20"/>
          <w:szCs w:val="20"/>
          <w:color w:val="auto"/>
        </w:rPr>
      </w:pPr>
    </w:p>
    <w:p>
      <w:pPr>
        <w:ind w:left="4"/>
        <w:spacing w:after="0"/>
        <w:rPr>
          <w:sz w:val="20"/>
          <w:szCs w:val="20"/>
          <w:color w:val="auto"/>
        </w:rPr>
      </w:pPr>
      <w:r>
        <w:rPr>
          <w:rFonts w:ascii="Arial" w:cs="Arial" w:eastAsia="Arial" w:hAnsi="Arial"/>
          <w:sz w:val="18"/>
          <w:szCs w:val="18"/>
          <w:color w:val="auto"/>
        </w:rPr>
        <w:t>Shuky Sheffer, Chief Executive Officer</w:t>
      </w:r>
    </w:p>
    <w:p>
      <w:pPr>
        <w:spacing w:after="0" w:line="9" w:lineRule="exact"/>
        <w:rPr>
          <w:sz w:val="20"/>
          <w:szCs w:val="20"/>
          <w:color w:val="auto"/>
        </w:rPr>
      </w:pPr>
    </w:p>
    <w:p>
      <w:pPr>
        <w:ind w:left="4"/>
        <w:spacing w:after="0"/>
        <w:rPr>
          <w:sz w:val="20"/>
          <w:szCs w:val="20"/>
          <w:color w:val="auto"/>
        </w:rPr>
      </w:pPr>
      <w:r>
        <w:rPr>
          <w:rFonts w:ascii="Arial" w:cs="Arial" w:eastAsia="Arial" w:hAnsi="Arial"/>
          <w:sz w:val="18"/>
          <w:szCs w:val="18"/>
          <w:color w:val="auto"/>
        </w:rPr>
        <w:t>Tamar Rapaport-Dagim, Chief Financial Officer and Chief Operating Officer</w:t>
      </w:r>
    </w:p>
    <w:p>
      <w:pPr>
        <w:spacing w:after="0" w:line="9" w:lineRule="exact"/>
        <w:rPr>
          <w:sz w:val="20"/>
          <w:szCs w:val="20"/>
          <w:color w:val="auto"/>
        </w:rPr>
      </w:pPr>
    </w:p>
    <w:p>
      <w:pPr>
        <w:ind w:left="4"/>
        <w:spacing w:after="0"/>
        <w:rPr>
          <w:sz w:val="20"/>
          <w:szCs w:val="20"/>
          <w:color w:val="auto"/>
        </w:rPr>
      </w:pPr>
      <w:r>
        <w:rPr>
          <w:rFonts w:ascii="Arial" w:cs="Arial" w:eastAsia="Arial" w:hAnsi="Arial"/>
          <w:sz w:val="18"/>
          <w:szCs w:val="18"/>
          <w:color w:val="auto"/>
        </w:rPr>
        <w:t>Michal Topolski, General Counsel</w:t>
      </w:r>
    </w:p>
    <w:p>
      <w:pPr>
        <w:spacing w:after="0" w:line="143" w:lineRule="exact"/>
        <w:rPr>
          <w:sz w:val="20"/>
          <w:szCs w:val="20"/>
          <w:color w:val="auto"/>
        </w:rPr>
      </w:pPr>
    </w:p>
    <w:p>
      <w:pPr>
        <w:jc w:val="center"/>
        <w:ind w:right="-3"/>
        <w:spacing w:after="0"/>
        <w:rPr>
          <w:sz w:val="20"/>
          <w:szCs w:val="20"/>
          <w:color w:val="auto"/>
        </w:rPr>
      </w:pPr>
      <w:r>
        <w:rPr>
          <w:rFonts w:ascii="Arial" w:cs="Arial" w:eastAsia="Arial" w:hAnsi="Arial"/>
          <w:sz w:val="18"/>
          <w:szCs w:val="18"/>
          <w:color w:val="auto"/>
        </w:rPr>
        <w:t>2</w:t>
      </w:r>
    </w:p>
    <w:sectPr>
      <w:pgSz w:w="11900" w:h="16838" w:orient="portrait"/>
      <w:cols w:equalWidth="0" w:num="1">
        <w:col w:w="11024"/>
      </w:cols>
      <w:pgMar w:left="436" w:top="274" w:right="4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1"/>
    </w:lvl>
  </w:abstractNum>
  <w:abstractNum w:abstractNumId="1">
    <w:nsid w:val="66334873"/>
    <w:multiLevelType w:val="hybridMultilevel"/>
    <w:lvl w:ilvl="0">
      <w:lvlJc w:val="left"/>
      <w:lvlText w:val="%1:"/>
      <w:numFmt w:val="lowerLetter"/>
      <w:start w:val="29"/>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2020-03-24T23:04:33Z</dcterms:created>
  <dcterms:modified xsi:type="dcterms:W3CDTF">2020-03-24T23:04:33Z</dcterms:modified>
</cp:coreProperties>
</file>